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1F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  静电场</w:t>
      </w:r>
    </w:p>
    <w:p w14:paraId="2E1EA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第5节  电势 电势差</w:t>
      </w:r>
    </w:p>
    <w:p w14:paraId="3A6AD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电势差</w:t>
      </w:r>
    </w:p>
    <w:p w14:paraId="0AAAE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baseline"/>
        <w:rPr>
          <w:rFonts w:hint="eastAsia" w:hAnsi="Cambria Math" w:eastAsia="宋体"/>
          <w:i w:val="0"/>
          <w:iCs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/>
          <w:sz w:val="21"/>
          <w:lang w:val="en-US" w:eastAsia="zh-CN"/>
        </w:rPr>
        <w:t>1</w:t>
      </w:r>
      <w:r>
        <w:rPr>
          <w:rFonts w:hint="eastAsia" w:hAnsi="Cambria Math" w:eastAsia="宋体"/>
          <w:i w:val="0"/>
          <w:iCs/>
          <w:sz w:val="21"/>
          <w:lang w:val="en-US" w:eastAsia="zh-CN"/>
        </w:rPr>
        <w:t>.电势差</w:t>
      </w:r>
    </w:p>
    <w:p w14:paraId="73610A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baseline"/>
        <w:rPr>
          <w:rFonts w:hint="eastAsia" w:hAnsi="Cambria Math" w:eastAsia="宋体"/>
          <w:i w:val="0"/>
          <w:iCs/>
          <w:sz w:val="21"/>
          <w:lang w:val="en-US" w:eastAsia="zh-CN"/>
        </w:rPr>
      </w:pPr>
      <w:r>
        <w:rPr>
          <w:rFonts w:hint="eastAsia" w:hAnsi="Cambria Math" w:eastAsia="宋体"/>
          <w:i w:val="0"/>
          <w:iCs/>
          <w:sz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i w:val="0"/>
          <w:iCs/>
          <w:sz w:val="21"/>
          <w:lang w:val="en-US" w:eastAsia="zh-CN"/>
        </w:rPr>
        <w:t>1</w:t>
      </w:r>
      <w:r>
        <w:rPr>
          <w:rFonts w:hint="eastAsia" w:hAnsi="Cambria Math" w:eastAsia="宋体"/>
          <w:i w:val="0"/>
          <w:iCs/>
          <w:sz w:val="21"/>
          <w:lang w:val="en-US" w:eastAsia="zh-CN"/>
        </w:rPr>
        <w:t>）定义：电场中两点的电势</w:t>
      </w:r>
      <w:r>
        <w:rPr>
          <w:rFonts w:hint="eastAsia" w:hAnsi="Cambria Math" w:eastAsia="宋体"/>
          <w:i w:val="0"/>
          <w:iCs/>
          <w:sz w:val="21"/>
          <w:u w:val="single"/>
          <w:lang w:val="en-US" w:eastAsia="zh-CN"/>
        </w:rPr>
        <w:t xml:space="preserve">  </w:t>
      </w:r>
      <w:r>
        <w:rPr>
          <w:rFonts w:hint="eastAsia" w:hAnsi="Cambria Math" w:eastAsia="宋体"/>
          <w:i w:val="0"/>
          <w:iCs/>
          <w:color w:val="FF0000"/>
          <w:sz w:val="21"/>
          <w:u w:val="single"/>
          <w:lang w:val="en-US" w:eastAsia="zh-CN"/>
        </w:rPr>
        <w:t>之差</w:t>
      </w:r>
      <w:r>
        <w:rPr>
          <w:rFonts w:hint="eastAsia" w:hAnsi="Cambria Math" w:eastAsia="宋体"/>
          <w:i w:val="0"/>
          <w:iCs/>
          <w:sz w:val="21"/>
          <w:u w:val="single"/>
          <w:lang w:val="en-US" w:eastAsia="zh-CN"/>
        </w:rPr>
        <w:t xml:space="preserve">  </w:t>
      </w:r>
      <w:r>
        <w:rPr>
          <w:rFonts w:hint="eastAsia" w:hAnsi="Cambria Math" w:eastAsia="宋体"/>
          <w:i w:val="0"/>
          <w:iCs/>
          <w:sz w:val="21"/>
          <w:lang w:val="en-US" w:eastAsia="zh-CN"/>
        </w:rPr>
        <w:t>为两点的电势差。</w:t>
      </w:r>
    </w:p>
    <w:p w14:paraId="1CBF92D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baseline"/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表达式</w:t>
      </w:r>
      <w:r>
        <w:rPr>
          <w:rFonts w:ascii="Times New Roman" w:hAnsi="Times New Roman" w:cs="Times New Roman"/>
          <w:sz w:val="21"/>
          <w:szCs w:val="21"/>
        </w:rPr>
        <w:t>：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φ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vertAlign w:val="baseline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φ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，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u w:val="single"/>
          <w:vertAlign w:val="baseline"/>
          <w:lang w:val="en-US" w:eastAsia="zh-CN"/>
        </w:rPr>
        <w:t>-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u w:val="single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u w:val="single"/>
          <w:vertAlign w:val="subscript"/>
          <w:lang w:val="en-US" w:eastAsia="zh-CN"/>
        </w:rPr>
        <w:t>BA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subscript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，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/>
          <w:iCs/>
          <w:color w:val="FF0000"/>
          <w:position w:val="-28"/>
          <w:sz w:val="21"/>
          <w:szCs w:val="21"/>
          <w:u w:val="single"/>
          <w:vertAlign w:val="baseline"/>
          <w:lang w:val="en-US" w:eastAsia="zh-CN"/>
        </w:rPr>
        <w:object>
          <v:shape id="_x0000_i1054" o:spt="75" type="#_x0000_t75" style="height:33pt;width:24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54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。</w:t>
      </w:r>
    </w:p>
    <w:p w14:paraId="3AA0608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baseline"/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（3）电势差和电势一样，也是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sz w:val="21"/>
          <w:szCs w:val="21"/>
          <w:u w:val="single"/>
          <w:vertAlign w:val="baseline"/>
          <w:lang w:val="en-US" w:eastAsia="zh-CN"/>
        </w:rPr>
        <w:t>标量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。单位也是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sz w:val="21"/>
          <w:szCs w:val="21"/>
          <w:u w:val="single"/>
          <w:vertAlign w:val="baseline"/>
          <w:lang w:val="en-US" w:eastAsia="zh-CN"/>
        </w:rPr>
        <w:t>伏特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，符号是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sz w:val="21"/>
          <w:szCs w:val="21"/>
          <w:u w:val="single"/>
          <w:vertAlign w:val="baseline"/>
          <w:lang w:val="en-US" w:eastAsia="zh-CN"/>
        </w:rPr>
        <w:t>V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，1V=1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sz w:val="21"/>
          <w:szCs w:val="21"/>
          <w:u w:val="single"/>
          <w:vertAlign w:val="baseline"/>
          <w:lang w:val="en-US" w:eastAsia="zh-CN"/>
        </w:rPr>
        <w:t>J/C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。</w:t>
      </w:r>
    </w:p>
    <w:p w14:paraId="2E78883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baseline"/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（4）电势与电势差都是描述电场本身的性质，都与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sz w:val="21"/>
          <w:szCs w:val="21"/>
          <w:u w:val="single"/>
          <w:vertAlign w:val="baseline"/>
          <w:lang w:val="en-US" w:eastAsia="zh-CN"/>
        </w:rPr>
        <w:t>检验电荷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无关，只与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sz w:val="21"/>
          <w:szCs w:val="21"/>
          <w:u w:val="single"/>
          <w:vertAlign w:val="baseline"/>
          <w:lang w:val="en-US" w:eastAsia="zh-CN"/>
        </w:rPr>
        <w:t>场中位置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有关。</w:t>
      </w:r>
    </w:p>
    <w:p w14:paraId="1E025BE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baseline"/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2.电势和电势差的正负</w:t>
      </w:r>
    </w:p>
    <w:p w14:paraId="24A5BC8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baseline"/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（1）某点的电势为正，即表示该点电势比零点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sz w:val="21"/>
          <w:szCs w:val="21"/>
          <w:u w:val="single"/>
          <w:vertAlign w:val="baseline"/>
          <w:lang w:val="en-US" w:eastAsia="zh-CN"/>
        </w:rPr>
        <w:t>高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，正电荷放在该点，电势能比放在零点时电势能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sz w:val="21"/>
          <w:szCs w:val="21"/>
          <w:u w:val="single"/>
          <w:vertAlign w:val="baseline"/>
          <w:lang w:val="en-US" w:eastAsia="zh-CN"/>
        </w:rPr>
        <w:t>大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。反之，如果某点的电势为负，就表示该点电势比零点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sz w:val="21"/>
          <w:szCs w:val="21"/>
          <w:u w:val="single"/>
          <w:vertAlign w:val="baseline"/>
          <w:lang w:val="en-US" w:eastAsia="zh-CN"/>
        </w:rPr>
        <w:t>低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，正电荷放在该点，电势能比放在零点时电势能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sz w:val="21"/>
          <w:szCs w:val="21"/>
          <w:u w:val="single"/>
          <w:vertAlign w:val="baseline"/>
          <w:lang w:val="en-US" w:eastAsia="zh-CN"/>
        </w:rPr>
        <w:t>小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。</w:t>
      </w:r>
    </w:p>
    <w:p w14:paraId="4655185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baseline"/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（2）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A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B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两点间的电势差为正，表示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A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点电势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sz w:val="21"/>
          <w:szCs w:val="21"/>
          <w:u w:val="single"/>
          <w:vertAlign w:val="baseline"/>
          <w:lang w:val="en-US" w:eastAsia="zh-CN"/>
        </w:rPr>
        <w:t>高于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B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点，正电荷从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A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点移到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B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点的过程中，电场力做正功。</w:t>
      </w:r>
    </w:p>
    <w:p w14:paraId="279748E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baseline"/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（3）沿电场线方向，电势逐渐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sz w:val="21"/>
          <w:szCs w:val="21"/>
          <w:u w:val="single"/>
          <w:vertAlign w:val="baseline"/>
          <w:lang w:val="en-US" w:eastAsia="zh-CN"/>
        </w:rPr>
        <w:t>降低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。</w:t>
      </w:r>
    </w:p>
    <w:p w14:paraId="5EDFEE7D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baseline"/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3.等势面</w:t>
      </w:r>
    </w:p>
    <w:p w14:paraId="754265F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baseline"/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（1）定义：电场中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sz w:val="21"/>
          <w:szCs w:val="21"/>
          <w:u w:val="single"/>
          <w:vertAlign w:val="baseline"/>
          <w:lang w:val="en-US" w:eastAsia="zh-CN"/>
        </w:rPr>
        <w:t>电势相等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的各点构成的曲面。</w:t>
      </w:r>
    </w:p>
    <w:p w14:paraId="603AB4D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特点</w:t>
      </w:r>
    </w:p>
    <w:p w14:paraId="2DE8D2E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>在同一等势面上移动电荷时电场力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不做功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。</w:t>
      </w:r>
    </w:p>
    <w:p w14:paraId="503C6C4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电场线一定与等势面垂直，并且从电势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高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的等势面指向电势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低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的等势面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129CB6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③</w:t>
      </w:r>
      <w:r>
        <w:rPr>
          <w:rFonts w:ascii="Times New Roman" w:hAnsi="Times New Roman" w:cs="Times New Roman"/>
          <w:sz w:val="21"/>
          <w:szCs w:val="21"/>
        </w:rPr>
        <w:t>任意两个等势面都不相交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29841DC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④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等势面的分布与零电势点的选取无关。</w:t>
      </w:r>
    </w:p>
    <w:p w14:paraId="67E59DE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ind w:left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（3）典型的等势面</w:t>
      </w:r>
    </w:p>
    <w:p w14:paraId="3F52612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ind w:left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①点电荷电场中的等势面：以点电荷为球心的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color w:val="FF0000"/>
          <w:kern w:val="2"/>
          <w:sz w:val="21"/>
          <w:szCs w:val="24"/>
          <w:u w:val="single"/>
          <w:lang w:val="en-US" w:eastAsia="zh-CN" w:bidi="ar-SA"/>
        </w:rPr>
        <w:t>球面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，如图甲所示。</w:t>
      </w:r>
    </w:p>
    <w:p w14:paraId="7CBE7C1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ind w:left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②等量同种或异种点电荷电场的等势面：对称的曲面，周围的电场是这两个点电荷各自电场叠加的结果，如图乙、丙所示。</w:t>
      </w:r>
    </w:p>
    <w:p w14:paraId="081C55F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ind w:leftChars="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③匀强电场的等势面：垂直于电场线的平面，如图丁所示。</w:t>
      </w:r>
    </w:p>
    <w:p w14:paraId="439C911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ind w:left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④不规则的带电导体电场的等势面：垂直于电场线的不规则曲面，如图戊所示。</w:t>
      </w:r>
    </w:p>
    <w:p w14:paraId="60D14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center"/>
        <w:textAlignment w:val="auto"/>
      </w:pPr>
      <w:r>
        <w:drawing>
          <wp:inline distT="0" distB="0" distL="114300" distR="114300">
            <wp:extent cx="4310380" cy="1219200"/>
            <wp:effectExtent l="0" t="0" r="1397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038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6C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.静电屏蔽</w:t>
      </w:r>
    </w:p>
    <w:p w14:paraId="6F93F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（1）定义：当金属壳达到静电平衡状态时，内部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（填“有”或“没有”）电场，因而金属壳会对其内部起保护作用，使它内部不受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外部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电场的影响。</w:t>
      </w:r>
    </w:p>
    <w:p w14:paraId="2DDD8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（2）实质：金属壳内感应电荷产生的场强和外加电场产生的场强矢量和为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，好像是金属壳将外电场“挡”在外面。</w:t>
      </w:r>
    </w:p>
    <w:p w14:paraId="6F2C5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（3）应用</w:t>
      </w:r>
    </w:p>
    <w:p w14:paraId="407E47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①电学仪器和电子设备外面会有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金属罩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，通讯电缆外面包一层铅皮，可以防止</w:t>
      </w:r>
    </w:p>
    <w:p w14:paraId="281EC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210" w:firstLine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外电场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的干扰。</w:t>
      </w:r>
    </w:p>
    <w:p w14:paraId="78BA2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②电工高压带电作业时，穿戴金属丝网制成的衣、帽、手套、鞋子，可以对人体起到静电屏蔽作用，使人安全作业。</w:t>
      </w:r>
    </w:p>
    <w:p w14:paraId="334DB9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Chars="0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7268DD9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baseline"/>
        <w:rPr>
          <w:rFonts w:hint="default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</w:p>
    <w:p w14:paraId="6296ED8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baseline"/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判断</w:t>
      </w:r>
    </w:p>
    <w:p w14:paraId="50B49B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电荷在等势面上移动时，由于不受电场力作用，所以电场力不做功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                   </w:t>
      </w:r>
    </w:p>
    <w:p w14:paraId="749CAD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2.同一个等势面上各点的场强大小相等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B744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3.电场中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两点间的电势差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等于把正电荷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点移动到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点时电场力做的功</w:t>
      </w:r>
    </w:p>
    <w:p w14:paraId="4685F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    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27D2840"/>
    <w:p w14:paraId="0AD8E13B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D5663F1"/>
    <w:rsid w:val="0D865185"/>
    <w:rsid w:val="0DB4420C"/>
    <w:rsid w:val="0ED61D65"/>
    <w:rsid w:val="1428639F"/>
    <w:rsid w:val="1ADF35A4"/>
    <w:rsid w:val="1F192994"/>
    <w:rsid w:val="2074194C"/>
    <w:rsid w:val="21733A6D"/>
    <w:rsid w:val="256B4972"/>
    <w:rsid w:val="30E57BC8"/>
    <w:rsid w:val="31837ABD"/>
    <w:rsid w:val="37BB437D"/>
    <w:rsid w:val="3A091644"/>
    <w:rsid w:val="3ED734A6"/>
    <w:rsid w:val="42B74272"/>
    <w:rsid w:val="437370B7"/>
    <w:rsid w:val="459E23E7"/>
    <w:rsid w:val="48D32A07"/>
    <w:rsid w:val="50290A0F"/>
    <w:rsid w:val="55E4287A"/>
    <w:rsid w:val="56E733A1"/>
    <w:rsid w:val="581C2119"/>
    <w:rsid w:val="586D5544"/>
    <w:rsid w:val="5B56564E"/>
    <w:rsid w:val="5DD50A81"/>
    <w:rsid w:val="5DDD390F"/>
    <w:rsid w:val="5DE50D1C"/>
    <w:rsid w:val="616650DA"/>
    <w:rsid w:val="61AB6AC8"/>
    <w:rsid w:val="645038A3"/>
    <w:rsid w:val="656136E1"/>
    <w:rsid w:val="6AC40451"/>
    <w:rsid w:val="78C86137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46D8B8B22E9444D9B674D9C80BA6B53C_13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